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87DD3DE" w:rsidR="00D442C1" w:rsidRDefault="002B7592" w:rsidP="00F910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proofErr w:type="gramStart"/>
      <w:r w:rsidR="0005489A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05489A" w:rsidRPr="0005489A">
        <w:rPr>
          <w:rFonts w:asciiTheme="minorHAnsi" w:hAnsiTheme="minorHAnsi" w:cstheme="minorHAnsi"/>
          <w:b/>
          <w:bCs/>
          <w:sz w:val="24"/>
          <w:szCs w:val="24"/>
        </w:rPr>
        <w:t>ávrhu  nařízení</w:t>
      </w:r>
      <w:proofErr w:type="gramEnd"/>
      <w:r w:rsidR="0005489A" w:rsidRPr="0005489A">
        <w:rPr>
          <w:rFonts w:asciiTheme="minorHAnsi" w:hAnsiTheme="minorHAnsi" w:cstheme="minorHAnsi"/>
          <w:b/>
          <w:bCs/>
          <w:sz w:val="24"/>
          <w:szCs w:val="24"/>
        </w:rPr>
        <w:t xml:space="preserve"> Evropského parlamentu a Rady o opatřeních pro dovoz, vývoz a tranzit palných zbraní, jejich hlavních částí a střeliva, kterým se provádí článek 10 Protokolu Organizace spojených národů proti nedovolené výrobě střelných zbraní a jejich součástí, dílů a střeliva a obchodování s nimi, který doplňuje Úmluvu Organizace spojených národů proti nadnárodnímu organizovanému zločinu (protokol OSN o palných zbraních) (přepracované znění)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1BFAD5AB" w:rsidR="00F94FD6" w:rsidRDefault="00F94FD6" w:rsidP="00E016E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639D4F4B" w:rsidR="00DD03DC" w:rsidRPr="00E016E6" w:rsidRDefault="00DD03DC" w:rsidP="00E016E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 xml:space="preserve">V rámci </w:t>
      </w:r>
      <w:r w:rsidR="00DC249A">
        <w:rPr>
          <w:rFonts w:asciiTheme="minorHAnsi" w:hAnsiTheme="minorHAnsi" w:cstheme="minorHAnsi"/>
          <w:sz w:val="24"/>
          <w:szCs w:val="24"/>
        </w:rPr>
        <w:t>p</w:t>
      </w:r>
      <w:r w:rsidRPr="00E016E6">
        <w:rPr>
          <w:rFonts w:asciiTheme="minorHAnsi" w:hAnsiTheme="minorHAnsi" w:cstheme="minorHAnsi"/>
          <w:sz w:val="24"/>
          <w:szCs w:val="24"/>
        </w:rPr>
        <w:t>řipomínkového řízení jsme obdrželi uvedený návrh. K němu Konfederace zaměstnavatelských a podnikatelských svazů ČR (KZPS ČR) uplatňuje následující připomínky:</w:t>
      </w:r>
    </w:p>
    <w:p w14:paraId="75A0AC3D" w14:textId="77777777" w:rsidR="00465737" w:rsidRPr="00E016E6" w:rsidRDefault="00465737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0B8FA2D6" w14:textId="77777777" w:rsidR="00E016E6" w:rsidRDefault="00E016E6" w:rsidP="00E016E6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9668174" w14:textId="5EDE271E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016E6">
        <w:rPr>
          <w:rFonts w:asciiTheme="minorHAnsi" w:hAnsiTheme="minorHAnsi" w:cstheme="minorHAnsi"/>
          <w:b/>
          <w:bCs/>
          <w:sz w:val="24"/>
          <w:szCs w:val="24"/>
          <w:u w:val="single"/>
        </w:rPr>
        <w:t>I. Obecné:</w:t>
      </w:r>
    </w:p>
    <w:p w14:paraId="0145691D" w14:textId="77777777" w:rsidR="00E016E6" w:rsidRDefault="00E016E6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7C8110E2" w14:textId="49B00890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>Snahu o harmonizaci předpisů pro oblast vývozu, dovozu a tranzitu zbraní (vč. střeliva,  hl. částí či polotovarů) (tedy mimo EU) je třeba uvítat, už třeba jenom proto, že otevírá dveře k úplnému zrušení zákona č. 228/2005 Sb. který zatěžuje podnikatele licenčním řízením  nejen při vývozu, dovozu a tranzitu ale i při mezistátním přemístění, pro které je postup stanoven směrnicí (EU) 2021/555, u nás implementovanou zákonem č. 13/2021 Sb., kterým byl novelizován zákon č. 119/2002 Sb., takže licenční řízení v těchto případech je duplicitní a neodůvodnitelnou zátěží podnikatele.</w:t>
      </w:r>
    </w:p>
    <w:p w14:paraId="7E71B4D2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6B32CCE7" w14:textId="41FE2281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>Bohužel předložený materiál není možno přijmout bez dalších úprav a odborné diskuse.  Již v důvodové zprávě předkladatel směšuje problematiku nelegálních zbraní, obchodu s nimi a potírání těchto jevů s problematikou obchodu legálního, což není možné, jde o dvě   oddělené skupiny, jak z pohledu vlastních zbraní (registrované, evidované/ neregistrované, neevidované</w:t>
      </w:r>
      <w:proofErr w:type="gramStart"/>
      <w:r w:rsidRPr="00E016E6">
        <w:rPr>
          <w:rFonts w:asciiTheme="minorHAnsi" w:hAnsiTheme="minorHAnsi" w:cstheme="minorHAnsi"/>
          <w:sz w:val="24"/>
          <w:szCs w:val="24"/>
        </w:rPr>
        <w:t>),  z</w:t>
      </w:r>
      <w:proofErr w:type="gramEnd"/>
      <w:r w:rsidRPr="00E016E6">
        <w:rPr>
          <w:rFonts w:asciiTheme="minorHAnsi" w:hAnsiTheme="minorHAnsi" w:cstheme="minorHAnsi"/>
          <w:sz w:val="24"/>
          <w:szCs w:val="24"/>
        </w:rPr>
        <w:t xml:space="preserve"> pohledu osob, které s nimi obchodují (licencovaní, prověření obchodníci/ kriminální živly), tak z pohledu osob, které mají být příjemci těchto zbraní (prověření bezúhonní občané/ podsvětí, teroristé a pod.).   Problematika nelegálních zbraní a obchodu s nimi v prostoru EU je natolik závažná (a s přihlédnutím k novému zdroji těchto zbraní, kterým je konflikt na Ukrajině závažnost dále poroste), že by bylo třeba přijmout pro celoevropské řešení této problematiky zvláštní dokument, který by tuto problematiku řešil a veškeré zmínky o nelegálních zbraních a nelegálním obchodování z tohoto dokumentu (včetně odkazů v nadpisu) </w:t>
      </w:r>
      <w:r w:rsidRPr="00E016E6">
        <w:rPr>
          <w:rFonts w:asciiTheme="minorHAnsi" w:hAnsiTheme="minorHAnsi" w:cstheme="minorHAnsi"/>
          <w:b/>
          <w:sz w:val="24"/>
          <w:szCs w:val="24"/>
        </w:rPr>
        <w:t xml:space="preserve">vypustit, </w:t>
      </w:r>
      <w:proofErr w:type="gramStart"/>
      <w:r w:rsidRPr="00E016E6">
        <w:rPr>
          <w:rFonts w:asciiTheme="minorHAnsi" w:hAnsiTheme="minorHAnsi" w:cstheme="minorHAnsi"/>
          <w:b/>
          <w:sz w:val="24"/>
          <w:szCs w:val="24"/>
        </w:rPr>
        <w:t>nepatří</w:t>
      </w:r>
      <w:proofErr w:type="gramEnd"/>
      <w:r w:rsidRPr="00E016E6">
        <w:rPr>
          <w:rFonts w:asciiTheme="minorHAnsi" w:hAnsiTheme="minorHAnsi" w:cstheme="minorHAnsi"/>
          <w:b/>
          <w:sz w:val="24"/>
          <w:szCs w:val="24"/>
        </w:rPr>
        <w:t xml:space="preserve"> sem</w:t>
      </w:r>
      <w:r w:rsidRPr="00E016E6">
        <w:rPr>
          <w:rFonts w:asciiTheme="minorHAnsi" w:hAnsiTheme="minorHAnsi" w:cstheme="minorHAnsi"/>
          <w:sz w:val="24"/>
          <w:szCs w:val="24"/>
        </w:rPr>
        <w:t>.</w:t>
      </w:r>
    </w:p>
    <w:p w14:paraId="16EBBA6C" w14:textId="2066B121" w:rsidR="0005489A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07D7D606" w14:textId="77777777" w:rsidR="00465737" w:rsidRDefault="00465737" w:rsidP="00E016E6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FA6352E" w14:textId="42C2FCAE" w:rsidR="00465737" w:rsidRDefault="00465737" w:rsidP="00E016E6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D647CDF" w14:textId="231752CD" w:rsidR="00B12665" w:rsidRDefault="00B12665" w:rsidP="00E016E6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0D04981" w14:textId="77777777" w:rsidR="00B12665" w:rsidRDefault="00B12665" w:rsidP="00E016E6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C5B887D" w14:textId="7E3A5A46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016E6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II. Konkrétně k materiálu:</w:t>
      </w:r>
    </w:p>
    <w:p w14:paraId="74B608D9" w14:textId="77777777" w:rsidR="00465737" w:rsidRDefault="00465737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E9019A6" w14:textId="4652E20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016E6">
        <w:rPr>
          <w:rFonts w:asciiTheme="minorHAnsi" w:hAnsiTheme="minorHAnsi" w:cstheme="minorHAnsi"/>
          <w:sz w:val="24"/>
          <w:szCs w:val="24"/>
          <w:u w:val="single"/>
        </w:rPr>
        <w:t>k úvodu:</w:t>
      </w:r>
    </w:p>
    <w:p w14:paraId="4934C10F" w14:textId="4D7E7DB0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 xml:space="preserve">k odst. 16, 17 (označování palných zbraní): nařízení by mělo umožňovat výjimku pro zbraně vyrobené v minulosti, před přijetím novely směrnice 91/477/EHS (nyní (EU)2021/555)), (ale, pochopitelně po roce 1899), které dosud nebyly uvedeny na trh v EU (například dovoz sběratelských unikátů z USA).  </w:t>
      </w:r>
    </w:p>
    <w:p w14:paraId="07DF286E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171EBE7C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016E6">
        <w:rPr>
          <w:rFonts w:asciiTheme="minorHAnsi" w:hAnsiTheme="minorHAnsi" w:cstheme="minorHAnsi"/>
          <w:sz w:val="24"/>
          <w:szCs w:val="24"/>
          <w:u w:val="single"/>
        </w:rPr>
        <w:t>k článku 2, bod 4 a bod 5:</w:t>
      </w:r>
    </w:p>
    <w:p w14:paraId="117E4935" w14:textId="5769B355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 xml:space="preserve">definice polotovarů je neurčitá, vágní. Je třeba přesněji do detailů vydefinovat polotovar zbraně nebo její hlavní části, aby bylo zřejmé, zda věc je předmětem licenčního režimu nebo není a bylo zamezeno jak obcházení </w:t>
      </w:r>
      <w:proofErr w:type="gramStart"/>
      <w:r w:rsidRPr="00E016E6">
        <w:rPr>
          <w:rFonts w:asciiTheme="minorHAnsi" w:hAnsiTheme="minorHAnsi" w:cstheme="minorHAnsi"/>
          <w:sz w:val="24"/>
          <w:szCs w:val="24"/>
        </w:rPr>
        <w:t>nařízení</w:t>
      </w:r>
      <w:proofErr w:type="gramEnd"/>
      <w:r w:rsidRPr="00E016E6">
        <w:rPr>
          <w:rFonts w:asciiTheme="minorHAnsi" w:hAnsiTheme="minorHAnsi" w:cstheme="minorHAnsi"/>
          <w:sz w:val="24"/>
          <w:szCs w:val="24"/>
        </w:rPr>
        <w:t xml:space="preserve"> tak úřední zvůli a eliminován případný korupční prostor.</w:t>
      </w:r>
    </w:p>
    <w:p w14:paraId="34CB2589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706BC3D8" w14:textId="24C5E833" w:rsidR="0005489A" w:rsidRPr="0065604E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5604E">
        <w:rPr>
          <w:rFonts w:asciiTheme="minorHAnsi" w:hAnsiTheme="minorHAnsi" w:cstheme="minorHAnsi"/>
          <w:sz w:val="24"/>
          <w:szCs w:val="24"/>
          <w:u w:val="single"/>
        </w:rPr>
        <w:t>bod 41:</w:t>
      </w:r>
    </w:p>
    <w:p w14:paraId="714535D1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 xml:space="preserve">stejná problematika jako v úvodu, je třeba umožnit obchod se zbraněmi, které byly vyrobeny před účinností směrnice (EU) 2021/555, ale dosud nebyly </w:t>
      </w:r>
      <w:proofErr w:type="gramStart"/>
      <w:r w:rsidRPr="00E016E6">
        <w:rPr>
          <w:rFonts w:asciiTheme="minorHAnsi" w:hAnsiTheme="minorHAnsi" w:cstheme="minorHAnsi"/>
          <w:sz w:val="24"/>
          <w:szCs w:val="24"/>
        </w:rPr>
        <w:t>uvedeny  na</w:t>
      </w:r>
      <w:proofErr w:type="gramEnd"/>
      <w:r w:rsidRPr="00E016E6">
        <w:rPr>
          <w:rFonts w:asciiTheme="minorHAnsi" w:hAnsiTheme="minorHAnsi" w:cstheme="minorHAnsi"/>
          <w:sz w:val="24"/>
          <w:szCs w:val="24"/>
        </w:rPr>
        <w:t xml:space="preserve"> trh (v EU). Nelze takový obchod označit za "nelegální", jako řešení je možno navrhnout ponechání (současného) znění bodu 15, písm. c), které má být v novém předpisu vypuštěno (jednoduché označení umožňující identifikaci</w:t>
      </w:r>
      <w:proofErr w:type="gramStart"/>
      <w:r w:rsidRPr="00E016E6">
        <w:rPr>
          <w:rFonts w:asciiTheme="minorHAnsi" w:hAnsiTheme="minorHAnsi" w:cstheme="minorHAnsi"/>
          <w:sz w:val="24"/>
          <w:szCs w:val="24"/>
        </w:rPr>
        <w:t>)..</w:t>
      </w:r>
      <w:proofErr w:type="gramEnd"/>
    </w:p>
    <w:p w14:paraId="072E98FA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21AF60A6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65604E">
        <w:rPr>
          <w:rFonts w:asciiTheme="minorHAnsi" w:hAnsiTheme="minorHAnsi" w:cstheme="minorHAnsi"/>
          <w:sz w:val="24"/>
          <w:szCs w:val="24"/>
          <w:u w:val="single"/>
        </w:rPr>
        <w:t>k článku 6, k článku 16, bod 3</w:t>
      </w:r>
      <w:r w:rsidRPr="00E016E6">
        <w:rPr>
          <w:rFonts w:asciiTheme="minorHAnsi" w:hAnsiTheme="minorHAnsi" w:cstheme="minorHAnsi"/>
          <w:sz w:val="24"/>
          <w:szCs w:val="24"/>
        </w:rPr>
        <w:t>:</w:t>
      </w:r>
    </w:p>
    <w:p w14:paraId="601B9220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>viz připomínka k bodu 41</w:t>
      </w:r>
    </w:p>
    <w:p w14:paraId="1CC1BCF4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4F7AA29F" w14:textId="77777777" w:rsidR="0005489A" w:rsidRPr="0065604E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5604E">
        <w:rPr>
          <w:rFonts w:asciiTheme="minorHAnsi" w:hAnsiTheme="minorHAnsi" w:cstheme="minorHAnsi"/>
          <w:sz w:val="24"/>
          <w:szCs w:val="24"/>
          <w:u w:val="single"/>
        </w:rPr>
        <w:t>k článku 8:</w:t>
      </w:r>
    </w:p>
    <w:p w14:paraId="2EBDA0A1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>je třeba dopracovat postup pro obchod se sběratelskými (dříve vyrobenými) poplašnými a signalizačními zbraněmi, které nebudou na seznamu pro svoji zastaralost, případně unikátnost.</w:t>
      </w:r>
    </w:p>
    <w:p w14:paraId="3BC8056C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0384DE46" w14:textId="77777777" w:rsidR="0005489A" w:rsidRPr="0065604E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5604E">
        <w:rPr>
          <w:rFonts w:asciiTheme="minorHAnsi" w:hAnsiTheme="minorHAnsi" w:cstheme="minorHAnsi"/>
          <w:sz w:val="24"/>
          <w:szCs w:val="24"/>
          <w:u w:val="single"/>
        </w:rPr>
        <w:t xml:space="preserve">k článku 9, bod 5, písm. b), bod 7, k článku 19, </w:t>
      </w:r>
    </w:p>
    <w:p w14:paraId="1B4FD556" w14:textId="08A8A614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>Posouzení bezúhonnosti dle návrhu nařízení (ECRIS, čl.2, bod 2 2002/584/SVV) není kompatibilní s posouzením bezúhonnosti držitele ZL podle zákona č. 119/2002 Sb., v praxi by mohlo dojít k situaci, že by existovala povinnost odepřít z tohoto důvodu řádnému držiteli ZL vydání licence. Další, ještě závažnější problém spočívá v tom, že trestní právo posuzuje v různých zemích EU odlišně skutky, kterými je možno naplnit skutkové podstaty t.č. uvedených v čl. 2, bod 2 2002/584/SVV (například houbařský nůž nebo teleskopický obušek v přihrádce auta nalezený policií v</w:t>
      </w:r>
      <w:r w:rsidR="000B7522">
        <w:rPr>
          <w:rFonts w:asciiTheme="minorHAnsi" w:hAnsiTheme="minorHAnsi" w:cstheme="minorHAnsi"/>
          <w:sz w:val="24"/>
          <w:szCs w:val="24"/>
        </w:rPr>
        <w:t> </w:t>
      </w:r>
      <w:r w:rsidR="000B7522" w:rsidRPr="00E016E6">
        <w:rPr>
          <w:rFonts w:asciiTheme="minorHAnsi" w:hAnsiTheme="minorHAnsi" w:cstheme="minorHAnsi"/>
          <w:sz w:val="24"/>
          <w:szCs w:val="24"/>
        </w:rPr>
        <w:t>Německu</w:t>
      </w:r>
      <w:r w:rsidR="000B7522">
        <w:rPr>
          <w:rFonts w:asciiTheme="minorHAnsi" w:hAnsiTheme="minorHAnsi" w:cstheme="minorHAnsi"/>
          <w:sz w:val="24"/>
          <w:szCs w:val="24"/>
        </w:rPr>
        <w:t>..</w:t>
      </w:r>
      <w:r w:rsidR="000B7522" w:rsidRPr="00E016E6">
        <w:rPr>
          <w:rFonts w:asciiTheme="minorHAnsi" w:hAnsiTheme="minorHAnsi" w:cstheme="minorHAnsi"/>
          <w:sz w:val="24"/>
          <w:szCs w:val="24"/>
        </w:rPr>
        <w:t>.</w:t>
      </w:r>
      <w:r w:rsidRPr="00E016E6">
        <w:rPr>
          <w:rFonts w:asciiTheme="minorHAnsi" w:hAnsiTheme="minorHAnsi" w:cstheme="minorHAnsi"/>
          <w:sz w:val="24"/>
          <w:szCs w:val="24"/>
        </w:rPr>
        <w:t>).</w:t>
      </w:r>
    </w:p>
    <w:p w14:paraId="60B7F6AB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0C7EE154" w14:textId="77777777" w:rsidR="0005489A" w:rsidRPr="0065604E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5604E">
        <w:rPr>
          <w:rFonts w:asciiTheme="minorHAnsi" w:hAnsiTheme="minorHAnsi" w:cstheme="minorHAnsi"/>
          <w:sz w:val="24"/>
          <w:szCs w:val="24"/>
          <w:u w:val="single"/>
        </w:rPr>
        <w:t>k článku 24, bod 4:</w:t>
      </w:r>
    </w:p>
    <w:p w14:paraId="7A9719DF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>doporučujeme naléhavě vypuštění z důvodu možného zneužití v nekalé obchodní soutěži.</w:t>
      </w:r>
    </w:p>
    <w:p w14:paraId="11C86F5C" w14:textId="77777777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5164CCE6" w14:textId="77777777" w:rsidR="0005489A" w:rsidRPr="0065604E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5604E">
        <w:rPr>
          <w:rFonts w:asciiTheme="minorHAnsi" w:hAnsiTheme="minorHAnsi" w:cstheme="minorHAnsi"/>
          <w:sz w:val="24"/>
          <w:szCs w:val="24"/>
          <w:u w:val="single"/>
        </w:rPr>
        <w:t>k článku 25:</w:t>
      </w:r>
    </w:p>
    <w:p w14:paraId="23158167" w14:textId="6D9A5665" w:rsidR="0005489A" w:rsidRPr="00E016E6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 xml:space="preserve">viz úvod, II. odstavec. řešení problematiky nelegálních zbraní a obchodu s nimi vyžaduje zvláštní právní normu, do normy upravující legální obchod v žádném případě </w:t>
      </w:r>
      <w:proofErr w:type="gramStart"/>
      <w:r w:rsidRPr="00E016E6">
        <w:rPr>
          <w:rFonts w:asciiTheme="minorHAnsi" w:hAnsiTheme="minorHAnsi" w:cstheme="minorHAnsi"/>
          <w:sz w:val="24"/>
          <w:szCs w:val="24"/>
        </w:rPr>
        <w:t>nepatří</w:t>
      </w:r>
      <w:proofErr w:type="gramEnd"/>
      <w:r w:rsidRPr="00E016E6">
        <w:rPr>
          <w:rFonts w:asciiTheme="minorHAnsi" w:hAnsiTheme="minorHAnsi" w:cstheme="minorHAnsi"/>
          <w:sz w:val="24"/>
          <w:szCs w:val="24"/>
        </w:rPr>
        <w:t>. Doporučujeme tento bod přepracovat</w:t>
      </w:r>
    </w:p>
    <w:p w14:paraId="0B120AD6" w14:textId="7D95BD8F" w:rsidR="0005489A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6E3A4521" w14:textId="77777777" w:rsidR="00B12665" w:rsidRDefault="00B12665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E3672FB" w14:textId="61A0BB32" w:rsidR="0005489A" w:rsidRPr="0065604E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5604E">
        <w:rPr>
          <w:rFonts w:asciiTheme="minorHAnsi" w:hAnsiTheme="minorHAnsi" w:cstheme="minorHAnsi"/>
          <w:sz w:val="24"/>
          <w:szCs w:val="24"/>
          <w:u w:val="single"/>
        </w:rPr>
        <w:lastRenderedPageBreak/>
        <w:t>k článku 28:</w:t>
      </w:r>
    </w:p>
    <w:p w14:paraId="19E5ECB7" w14:textId="441D452A" w:rsidR="0005489A" w:rsidRPr="0008190C" w:rsidRDefault="0005489A" w:rsidP="00E016E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 xml:space="preserve">tento článek </w:t>
      </w:r>
      <w:proofErr w:type="gramStart"/>
      <w:r w:rsidRPr="00E016E6">
        <w:rPr>
          <w:rFonts w:asciiTheme="minorHAnsi" w:hAnsiTheme="minorHAnsi" w:cstheme="minorHAnsi"/>
          <w:sz w:val="24"/>
          <w:szCs w:val="24"/>
        </w:rPr>
        <w:t>tvoří</w:t>
      </w:r>
      <w:proofErr w:type="gramEnd"/>
      <w:r w:rsidRPr="00E016E6">
        <w:rPr>
          <w:rFonts w:asciiTheme="minorHAnsi" w:hAnsiTheme="minorHAnsi" w:cstheme="minorHAnsi"/>
          <w:sz w:val="24"/>
          <w:szCs w:val="24"/>
        </w:rPr>
        <w:t xml:space="preserve"> podstatu celé materie. Je třeba upozornit na riziko (i když se tento předpis </w:t>
      </w:r>
      <w:r w:rsidRPr="0008190C">
        <w:rPr>
          <w:rFonts w:asciiTheme="minorHAnsi" w:hAnsiTheme="minorHAnsi" w:cstheme="minorHAnsi"/>
          <w:sz w:val="24"/>
          <w:szCs w:val="24"/>
        </w:rPr>
        <w:t xml:space="preserve">netýká zbraní určených pro ozbrojené sbory), že bude mimo ČR přehled o subjektech a jejich zahraničních obchodních aktivitách. Tyto informace mohou </w:t>
      </w:r>
      <w:r w:rsidR="00B13F0D" w:rsidRPr="0008190C">
        <w:rPr>
          <w:rFonts w:asciiTheme="minorHAnsi" w:hAnsiTheme="minorHAnsi" w:cstheme="minorHAnsi"/>
          <w:sz w:val="24"/>
          <w:szCs w:val="24"/>
        </w:rPr>
        <w:t>být jak</w:t>
      </w:r>
      <w:r w:rsidRPr="0008190C">
        <w:rPr>
          <w:rFonts w:asciiTheme="minorHAnsi" w:hAnsiTheme="minorHAnsi" w:cstheme="minorHAnsi"/>
          <w:sz w:val="24"/>
          <w:szCs w:val="24"/>
        </w:rPr>
        <w:t xml:space="preserve"> pro ČR, tak pro licencované subjekty velmi citlivé a v případě institucí EU v žádném případě nelze spoléhat na jejich důvěryhodnost a nestrannost (viz třeba v současné době eskalující skandál EU a zejména komise kolem smluv na tak zvané "vakcíny" s firmou Pfizer).</w:t>
      </w:r>
    </w:p>
    <w:p w14:paraId="24B6E0AE" w14:textId="77777777" w:rsidR="0005489A" w:rsidRPr="0008190C" w:rsidRDefault="0005489A" w:rsidP="00E016E6">
      <w:pPr>
        <w:rPr>
          <w:rFonts w:asciiTheme="minorHAnsi" w:hAnsiTheme="minorHAnsi" w:cstheme="minorHAnsi"/>
          <w:sz w:val="24"/>
          <w:szCs w:val="24"/>
        </w:rPr>
      </w:pPr>
    </w:p>
    <w:p w14:paraId="16D62F88" w14:textId="77777777" w:rsidR="0005489A" w:rsidRPr="0008190C" w:rsidRDefault="0005489A" w:rsidP="00E016E6">
      <w:pPr>
        <w:rPr>
          <w:rFonts w:asciiTheme="minorHAnsi" w:hAnsiTheme="minorHAnsi" w:cstheme="minorHAnsi"/>
          <w:sz w:val="24"/>
          <w:szCs w:val="24"/>
        </w:rPr>
      </w:pPr>
    </w:p>
    <w:p w14:paraId="4771BF7F" w14:textId="0A2A1A35" w:rsidR="00116A85" w:rsidRPr="0008190C" w:rsidRDefault="001932EA" w:rsidP="00E01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8190C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08190C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08190C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08190C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08190C" w:rsidRDefault="00E73AD9" w:rsidP="00E016E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20A26BF" w14:textId="3EDEA9C0" w:rsidR="0008190C" w:rsidRPr="0008190C" w:rsidRDefault="0008190C" w:rsidP="00DD3C7D">
      <w:pPr>
        <w:rPr>
          <w:rFonts w:asciiTheme="minorHAnsi" w:hAnsiTheme="minorHAnsi" w:cstheme="minorHAnsi"/>
          <w:sz w:val="24"/>
          <w:szCs w:val="24"/>
        </w:rPr>
      </w:pPr>
      <w:r w:rsidRPr="0008190C">
        <w:rPr>
          <w:rFonts w:asciiTheme="minorHAnsi" w:hAnsiTheme="minorHAnsi" w:cstheme="minorHAnsi"/>
          <w:sz w:val="24"/>
          <w:szCs w:val="24"/>
        </w:rPr>
        <w:t>Jiří Šebesta</w:t>
      </w:r>
      <w:r w:rsidR="00DD3C7D">
        <w:rPr>
          <w:rFonts w:asciiTheme="minorHAnsi" w:hAnsiTheme="minorHAnsi" w:cstheme="minorHAnsi"/>
          <w:sz w:val="24"/>
          <w:szCs w:val="24"/>
        </w:rPr>
        <w:tab/>
      </w:r>
      <w:r w:rsidR="00DD3C7D">
        <w:rPr>
          <w:rFonts w:asciiTheme="minorHAnsi" w:hAnsiTheme="minorHAnsi" w:cstheme="minorHAnsi"/>
          <w:sz w:val="24"/>
          <w:szCs w:val="24"/>
        </w:rPr>
        <w:tab/>
      </w:r>
      <w:r w:rsidR="00DD3C7D">
        <w:rPr>
          <w:rFonts w:asciiTheme="minorHAnsi" w:hAnsiTheme="minorHAnsi" w:cstheme="minorHAnsi"/>
          <w:sz w:val="24"/>
          <w:szCs w:val="24"/>
        </w:rPr>
        <w:tab/>
        <w:t>e-mail:</w:t>
      </w:r>
      <w:r w:rsidR="00DD3C7D">
        <w:rPr>
          <w:rFonts w:asciiTheme="minorHAnsi" w:hAnsiTheme="minorHAnsi" w:cstheme="minorHAnsi"/>
          <w:sz w:val="24"/>
          <w:szCs w:val="24"/>
        </w:rPr>
        <w:tab/>
      </w:r>
      <w:hyperlink r:id="rId11" w:history="1">
        <w:r w:rsidRPr="0008190C">
          <w:rPr>
            <w:rStyle w:val="Hypertextovodkaz"/>
            <w:rFonts w:asciiTheme="minorHAnsi" w:hAnsiTheme="minorHAnsi" w:cstheme="minorHAnsi"/>
            <w:sz w:val="24"/>
            <w:szCs w:val="24"/>
          </w:rPr>
          <w:t>jirisebesta@seznam.cz</w:t>
        </w:r>
      </w:hyperlink>
      <w:r w:rsidR="00DD3C7D">
        <w:rPr>
          <w:rFonts w:asciiTheme="minorHAnsi" w:hAnsiTheme="minorHAnsi" w:cstheme="minorHAnsi"/>
          <w:sz w:val="24"/>
          <w:szCs w:val="24"/>
        </w:rPr>
        <w:tab/>
      </w:r>
      <w:r w:rsidR="00DD3C7D">
        <w:rPr>
          <w:rFonts w:asciiTheme="minorHAnsi" w:hAnsiTheme="minorHAnsi" w:cstheme="minorHAnsi"/>
          <w:sz w:val="24"/>
          <w:szCs w:val="24"/>
        </w:rPr>
        <w:tab/>
        <w:t>mob:</w:t>
      </w:r>
      <w:r w:rsidR="00DD3C7D">
        <w:rPr>
          <w:rFonts w:asciiTheme="minorHAnsi" w:hAnsiTheme="minorHAnsi" w:cstheme="minorHAnsi"/>
          <w:sz w:val="24"/>
          <w:szCs w:val="24"/>
        </w:rPr>
        <w:tab/>
      </w:r>
      <w:r w:rsidRPr="0008190C">
        <w:rPr>
          <w:rFonts w:asciiTheme="minorHAnsi" w:hAnsiTheme="minorHAnsi" w:cstheme="minorHAnsi"/>
          <w:sz w:val="24"/>
          <w:szCs w:val="24"/>
        </w:rPr>
        <w:t>608</w:t>
      </w:r>
      <w:r w:rsidR="00DD3C7D">
        <w:rPr>
          <w:rFonts w:asciiTheme="minorHAnsi" w:hAnsiTheme="minorHAnsi" w:cstheme="minorHAnsi"/>
          <w:sz w:val="24"/>
          <w:szCs w:val="24"/>
        </w:rPr>
        <w:t> </w:t>
      </w:r>
      <w:r w:rsidRPr="0008190C">
        <w:rPr>
          <w:rFonts w:asciiTheme="minorHAnsi" w:hAnsiTheme="minorHAnsi" w:cstheme="minorHAnsi"/>
          <w:sz w:val="24"/>
          <w:szCs w:val="24"/>
        </w:rPr>
        <w:t>343</w:t>
      </w:r>
      <w:r w:rsidR="00DD3C7D">
        <w:rPr>
          <w:rFonts w:asciiTheme="minorHAnsi" w:hAnsiTheme="minorHAnsi" w:cstheme="minorHAnsi"/>
          <w:sz w:val="24"/>
          <w:szCs w:val="24"/>
        </w:rPr>
        <w:t xml:space="preserve"> </w:t>
      </w:r>
      <w:r w:rsidRPr="0008190C">
        <w:rPr>
          <w:rFonts w:asciiTheme="minorHAnsi" w:hAnsiTheme="minorHAnsi" w:cstheme="minorHAnsi"/>
          <w:sz w:val="24"/>
          <w:szCs w:val="24"/>
        </w:rPr>
        <w:t>828</w:t>
      </w:r>
    </w:p>
    <w:p w14:paraId="6AA718CE" w14:textId="3D56B46D" w:rsidR="00116A85" w:rsidRPr="0008190C" w:rsidRDefault="00B17C0F" w:rsidP="00E016E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08190C">
        <w:rPr>
          <w:rFonts w:asciiTheme="minorHAnsi" w:hAnsiTheme="minorHAnsi" w:cstheme="minorHAnsi"/>
        </w:rPr>
        <w:t>Dr.</w:t>
      </w:r>
      <w:r w:rsidR="00116A85" w:rsidRPr="0008190C">
        <w:rPr>
          <w:rFonts w:asciiTheme="minorHAnsi" w:hAnsiTheme="minorHAnsi" w:cstheme="minorHAnsi"/>
        </w:rPr>
        <w:t xml:space="preserve"> Jan Zikeš</w:t>
      </w:r>
      <w:r w:rsidR="00C02026" w:rsidRPr="0008190C">
        <w:rPr>
          <w:rFonts w:asciiTheme="minorHAnsi" w:hAnsiTheme="minorHAnsi" w:cstheme="minorHAnsi"/>
        </w:rPr>
        <w:tab/>
      </w:r>
      <w:r w:rsidR="00C02026" w:rsidRPr="0008190C">
        <w:rPr>
          <w:rFonts w:asciiTheme="minorHAnsi" w:hAnsiTheme="minorHAnsi" w:cstheme="minorHAnsi"/>
        </w:rPr>
        <w:tab/>
      </w:r>
      <w:r w:rsidR="007D6A55" w:rsidRPr="0008190C">
        <w:rPr>
          <w:rFonts w:asciiTheme="minorHAnsi" w:hAnsiTheme="minorHAnsi" w:cstheme="minorHAnsi"/>
        </w:rPr>
        <w:tab/>
      </w:r>
      <w:r w:rsidR="00116A85" w:rsidRPr="0008190C">
        <w:rPr>
          <w:rFonts w:asciiTheme="minorHAnsi" w:hAnsiTheme="minorHAnsi" w:cstheme="minorHAnsi"/>
        </w:rPr>
        <w:t>e</w:t>
      </w:r>
      <w:r w:rsidR="001932EA" w:rsidRPr="0008190C">
        <w:rPr>
          <w:rFonts w:asciiTheme="minorHAnsi" w:hAnsiTheme="minorHAnsi" w:cstheme="minorHAnsi"/>
        </w:rPr>
        <w:t>-</w:t>
      </w:r>
      <w:r w:rsidR="00116A85" w:rsidRPr="0008190C">
        <w:rPr>
          <w:rFonts w:asciiTheme="minorHAnsi" w:hAnsiTheme="minorHAnsi" w:cstheme="minorHAnsi"/>
        </w:rPr>
        <w:t>mail:</w:t>
      </w:r>
      <w:r w:rsidR="00B62EFD" w:rsidRPr="0008190C">
        <w:rPr>
          <w:rFonts w:asciiTheme="minorHAnsi" w:hAnsiTheme="minorHAnsi" w:cstheme="minorHAnsi"/>
        </w:rPr>
        <w:tab/>
      </w:r>
      <w:hyperlink r:id="rId12" w:history="1">
        <w:r w:rsidR="00116A85" w:rsidRPr="0008190C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08190C">
        <w:rPr>
          <w:rFonts w:asciiTheme="minorHAnsi" w:hAnsiTheme="minorHAnsi" w:cstheme="minorHAnsi"/>
        </w:rPr>
        <w:tab/>
      </w:r>
      <w:r w:rsidR="00C02026" w:rsidRPr="0008190C">
        <w:rPr>
          <w:rFonts w:asciiTheme="minorHAnsi" w:hAnsiTheme="minorHAnsi" w:cstheme="minorHAnsi"/>
        </w:rPr>
        <w:tab/>
      </w:r>
      <w:r w:rsidR="00680FD8" w:rsidRPr="0008190C">
        <w:rPr>
          <w:rFonts w:asciiTheme="minorHAnsi" w:hAnsiTheme="minorHAnsi" w:cstheme="minorHAnsi"/>
        </w:rPr>
        <w:tab/>
      </w:r>
      <w:r w:rsidR="00BF116F" w:rsidRPr="0008190C">
        <w:rPr>
          <w:rFonts w:asciiTheme="minorHAnsi" w:hAnsiTheme="minorHAnsi" w:cstheme="minorHAnsi"/>
        </w:rPr>
        <w:tab/>
      </w:r>
      <w:r w:rsidR="00116A85" w:rsidRPr="0008190C">
        <w:rPr>
          <w:rFonts w:asciiTheme="minorHAnsi" w:hAnsiTheme="minorHAnsi" w:cstheme="minorHAnsi"/>
        </w:rPr>
        <w:t>tel:</w:t>
      </w:r>
      <w:r w:rsidR="00D442C1" w:rsidRPr="0008190C">
        <w:rPr>
          <w:rFonts w:asciiTheme="minorHAnsi" w:hAnsiTheme="minorHAnsi" w:cstheme="minorHAnsi"/>
        </w:rPr>
        <w:tab/>
      </w:r>
      <w:r w:rsidR="00C02026" w:rsidRPr="0008190C">
        <w:rPr>
          <w:rFonts w:asciiTheme="minorHAnsi" w:hAnsiTheme="minorHAnsi" w:cstheme="minorHAnsi"/>
        </w:rPr>
        <w:t>222 324</w:t>
      </w:r>
      <w:r w:rsidR="00B411A7" w:rsidRPr="0008190C">
        <w:rPr>
          <w:rFonts w:asciiTheme="minorHAnsi" w:hAnsiTheme="minorHAnsi" w:cstheme="minorHAnsi"/>
        </w:rPr>
        <w:t> </w:t>
      </w:r>
      <w:r w:rsidR="00C02026" w:rsidRPr="0008190C">
        <w:rPr>
          <w:rFonts w:asciiTheme="minorHAnsi" w:hAnsiTheme="minorHAnsi" w:cstheme="minorHAnsi"/>
        </w:rPr>
        <w:t>985</w:t>
      </w:r>
    </w:p>
    <w:p w14:paraId="23122064" w14:textId="45402924" w:rsidR="002234F6" w:rsidRPr="0008190C" w:rsidRDefault="002234F6" w:rsidP="00E016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08190C" w:rsidRDefault="00185976" w:rsidP="00E016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84FD9C4" w:rsidR="00FD1397" w:rsidRPr="0008190C" w:rsidRDefault="009A436D" w:rsidP="00E016E6">
      <w:pPr>
        <w:jc w:val="both"/>
        <w:rPr>
          <w:rFonts w:asciiTheme="minorHAnsi" w:hAnsiTheme="minorHAnsi" w:cstheme="minorHAnsi"/>
          <w:sz w:val="24"/>
          <w:szCs w:val="24"/>
        </w:rPr>
      </w:pPr>
      <w:r w:rsidRPr="0008190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08190C">
        <w:rPr>
          <w:rFonts w:asciiTheme="minorHAnsi" w:hAnsiTheme="minorHAnsi" w:cstheme="minorHAnsi"/>
          <w:sz w:val="24"/>
          <w:szCs w:val="24"/>
        </w:rPr>
        <w:t xml:space="preserve"> </w:t>
      </w:r>
      <w:r w:rsidR="00DC249A">
        <w:rPr>
          <w:rFonts w:asciiTheme="minorHAnsi" w:hAnsiTheme="minorHAnsi" w:cstheme="minorHAnsi"/>
          <w:sz w:val="24"/>
          <w:szCs w:val="24"/>
        </w:rPr>
        <w:t>2. prosince</w:t>
      </w:r>
      <w:r w:rsidR="00D21B8B" w:rsidRPr="0008190C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08190C" w:rsidRDefault="00D21B8B" w:rsidP="00E016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08190C" w:rsidRDefault="00B411A7" w:rsidP="00E016E6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08190C" w:rsidRDefault="00994DDC" w:rsidP="00E016E6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E016E6" w:rsidRDefault="00BF1917" w:rsidP="00E016E6">
      <w:pPr>
        <w:rPr>
          <w:rFonts w:asciiTheme="minorHAnsi" w:hAnsiTheme="minorHAnsi" w:cstheme="minorHAnsi"/>
          <w:b/>
          <w:sz w:val="24"/>
          <w:szCs w:val="24"/>
        </w:rPr>
      </w:pPr>
      <w:r w:rsidRPr="0008190C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08190C">
        <w:rPr>
          <w:rFonts w:asciiTheme="minorHAnsi" w:hAnsiTheme="minorHAnsi" w:cstheme="minorHAnsi"/>
          <w:sz w:val="24"/>
          <w:szCs w:val="24"/>
        </w:rPr>
        <w:tab/>
      </w:r>
      <w:r w:rsidR="00E825FB" w:rsidRPr="0008190C">
        <w:rPr>
          <w:rFonts w:asciiTheme="minorHAnsi" w:hAnsiTheme="minorHAnsi" w:cstheme="minorHAnsi"/>
          <w:sz w:val="24"/>
          <w:szCs w:val="24"/>
        </w:rPr>
        <w:tab/>
      </w:r>
      <w:r w:rsidR="00E825FB" w:rsidRPr="0008190C">
        <w:rPr>
          <w:rFonts w:asciiTheme="minorHAnsi" w:hAnsiTheme="minorHAnsi" w:cstheme="minorHAnsi"/>
          <w:sz w:val="24"/>
          <w:szCs w:val="24"/>
        </w:rPr>
        <w:tab/>
      </w:r>
      <w:r w:rsidR="00E825FB" w:rsidRPr="00E016E6">
        <w:rPr>
          <w:rFonts w:asciiTheme="minorHAnsi" w:hAnsiTheme="minorHAnsi" w:cstheme="minorHAnsi"/>
          <w:sz w:val="24"/>
          <w:szCs w:val="24"/>
        </w:rPr>
        <w:tab/>
      </w:r>
      <w:r w:rsidR="00E825FB" w:rsidRPr="00E016E6">
        <w:rPr>
          <w:rFonts w:asciiTheme="minorHAnsi" w:hAnsiTheme="minorHAnsi" w:cstheme="minorHAnsi"/>
          <w:sz w:val="24"/>
          <w:szCs w:val="24"/>
        </w:rPr>
        <w:tab/>
      </w:r>
      <w:r w:rsidR="00E825FB" w:rsidRPr="00E016E6">
        <w:rPr>
          <w:rFonts w:asciiTheme="minorHAnsi" w:hAnsiTheme="minorHAnsi" w:cstheme="minorHAnsi"/>
          <w:sz w:val="24"/>
          <w:szCs w:val="24"/>
        </w:rPr>
        <w:tab/>
      </w:r>
      <w:r w:rsidR="00E825FB" w:rsidRPr="00E016E6">
        <w:rPr>
          <w:rFonts w:asciiTheme="minorHAnsi" w:hAnsiTheme="minorHAnsi" w:cstheme="minorHAnsi"/>
          <w:sz w:val="24"/>
          <w:szCs w:val="24"/>
        </w:rPr>
        <w:tab/>
      </w:r>
      <w:r w:rsidR="00E825FB" w:rsidRPr="00E016E6">
        <w:rPr>
          <w:rFonts w:asciiTheme="minorHAnsi" w:hAnsiTheme="minorHAnsi" w:cstheme="minorHAnsi"/>
          <w:sz w:val="24"/>
          <w:szCs w:val="24"/>
        </w:rPr>
        <w:tab/>
      </w:r>
      <w:r w:rsidR="00E825FB" w:rsidRPr="00E016E6">
        <w:rPr>
          <w:rFonts w:asciiTheme="minorHAnsi" w:hAnsiTheme="minorHAnsi" w:cstheme="minorHAnsi"/>
          <w:sz w:val="24"/>
          <w:szCs w:val="24"/>
        </w:rPr>
        <w:tab/>
      </w:r>
      <w:r w:rsidR="002A28AB" w:rsidRPr="00E016E6">
        <w:rPr>
          <w:rFonts w:asciiTheme="minorHAnsi" w:hAnsiTheme="minorHAnsi" w:cstheme="minorHAnsi"/>
          <w:sz w:val="24"/>
          <w:szCs w:val="24"/>
        </w:rPr>
        <w:tab/>
      </w:r>
      <w:r w:rsidR="002A28AB" w:rsidRPr="00E016E6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E016E6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E016E6" w:rsidRDefault="00875CDF" w:rsidP="00E016E6">
      <w:pPr>
        <w:rPr>
          <w:rFonts w:asciiTheme="minorHAnsi" w:hAnsiTheme="minorHAnsi" w:cstheme="minorHAnsi"/>
          <w:sz w:val="24"/>
          <w:szCs w:val="24"/>
        </w:rPr>
      </w:pPr>
      <w:r w:rsidRPr="00E016E6">
        <w:rPr>
          <w:rFonts w:asciiTheme="minorHAnsi" w:hAnsiTheme="minorHAnsi" w:cstheme="minorHAnsi"/>
          <w:sz w:val="24"/>
          <w:szCs w:val="24"/>
        </w:rPr>
        <w:tab/>
      </w:r>
      <w:r w:rsidRPr="00E016E6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E016E6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E016E6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E016E6">
        <w:rPr>
          <w:rFonts w:asciiTheme="minorHAnsi" w:hAnsiTheme="minorHAnsi" w:cstheme="minorHAnsi"/>
          <w:sz w:val="24"/>
          <w:szCs w:val="24"/>
        </w:rPr>
        <w:tab/>
      </w:r>
      <w:r w:rsidR="00E825FB" w:rsidRPr="00E016E6">
        <w:rPr>
          <w:rFonts w:asciiTheme="minorHAnsi" w:hAnsiTheme="minorHAnsi" w:cstheme="minorHAnsi"/>
          <w:sz w:val="24"/>
          <w:szCs w:val="24"/>
        </w:rPr>
        <w:tab/>
      </w:r>
      <w:r w:rsidR="002A28AB" w:rsidRPr="00E016E6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E016E6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E016E6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E016E6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E016E6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31D9" w14:textId="77777777" w:rsidR="008D3B00" w:rsidRDefault="008D3B00">
      <w:r>
        <w:separator/>
      </w:r>
    </w:p>
    <w:p w14:paraId="15A31139" w14:textId="77777777" w:rsidR="008D3B00" w:rsidRDefault="008D3B00"/>
  </w:endnote>
  <w:endnote w:type="continuationSeparator" w:id="0">
    <w:p w14:paraId="2C6BCF85" w14:textId="77777777" w:rsidR="008D3B00" w:rsidRDefault="008D3B00">
      <w:r>
        <w:continuationSeparator/>
      </w:r>
    </w:p>
    <w:p w14:paraId="3F04DE62" w14:textId="77777777" w:rsidR="008D3B00" w:rsidRDefault="008D3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8078" w14:textId="77777777" w:rsidR="008D3B00" w:rsidRDefault="008D3B00">
      <w:r>
        <w:separator/>
      </w:r>
    </w:p>
    <w:p w14:paraId="0F3036F1" w14:textId="77777777" w:rsidR="008D3B00" w:rsidRDefault="008D3B00"/>
  </w:footnote>
  <w:footnote w:type="continuationSeparator" w:id="0">
    <w:p w14:paraId="08B93A88" w14:textId="77777777" w:rsidR="008D3B00" w:rsidRDefault="008D3B00">
      <w:r>
        <w:continuationSeparator/>
      </w:r>
    </w:p>
    <w:p w14:paraId="45071C3E" w14:textId="77777777" w:rsidR="008D3B00" w:rsidRDefault="008D3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965022">
    <w:abstractNumId w:val="14"/>
  </w:num>
  <w:num w:numId="2" w16cid:durableId="2208674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0448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616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8586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3686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244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76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015000">
    <w:abstractNumId w:val="16"/>
  </w:num>
  <w:num w:numId="10" w16cid:durableId="18422354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2660594">
    <w:abstractNumId w:val="8"/>
  </w:num>
  <w:num w:numId="12" w16cid:durableId="549533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42089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9425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745921">
    <w:abstractNumId w:val="11"/>
  </w:num>
  <w:num w:numId="16" w16cid:durableId="10883857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537A9"/>
    <w:rsid w:val="0005489A"/>
    <w:rsid w:val="000741DD"/>
    <w:rsid w:val="0007717A"/>
    <w:rsid w:val="0008190C"/>
    <w:rsid w:val="00094A96"/>
    <w:rsid w:val="00097BCC"/>
    <w:rsid w:val="000B7522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34AF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3227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57662"/>
    <w:rsid w:val="00462D24"/>
    <w:rsid w:val="00462E34"/>
    <w:rsid w:val="00464240"/>
    <w:rsid w:val="00465737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419B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5604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1374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0D"/>
    <w:rsid w:val="00844379"/>
    <w:rsid w:val="00852D27"/>
    <w:rsid w:val="00857174"/>
    <w:rsid w:val="00860019"/>
    <w:rsid w:val="00861556"/>
    <w:rsid w:val="00864A5F"/>
    <w:rsid w:val="00865882"/>
    <w:rsid w:val="008704E0"/>
    <w:rsid w:val="00870D2F"/>
    <w:rsid w:val="0087413E"/>
    <w:rsid w:val="00874D4A"/>
    <w:rsid w:val="00875CDF"/>
    <w:rsid w:val="00877EB8"/>
    <w:rsid w:val="00880B1D"/>
    <w:rsid w:val="0088730F"/>
    <w:rsid w:val="00895BF8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D3B00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6DA7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2665"/>
    <w:rsid w:val="00B13F0D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529A6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16F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10BC"/>
    <w:rsid w:val="00C75878"/>
    <w:rsid w:val="00C806D8"/>
    <w:rsid w:val="00C833FB"/>
    <w:rsid w:val="00C969CF"/>
    <w:rsid w:val="00C97B14"/>
    <w:rsid w:val="00CA21E0"/>
    <w:rsid w:val="00CA3EA4"/>
    <w:rsid w:val="00CA47F6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B120E"/>
    <w:rsid w:val="00DC249A"/>
    <w:rsid w:val="00DC337F"/>
    <w:rsid w:val="00DC7120"/>
    <w:rsid w:val="00DD03DC"/>
    <w:rsid w:val="00DD3C7D"/>
    <w:rsid w:val="00DD600C"/>
    <w:rsid w:val="00DE0A80"/>
    <w:rsid w:val="00DE0E3F"/>
    <w:rsid w:val="00DF1305"/>
    <w:rsid w:val="00DF62FE"/>
    <w:rsid w:val="00DF6DAA"/>
    <w:rsid w:val="00E016E6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033D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1E04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10B8"/>
    <w:rsid w:val="00F94FD6"/>
    <w:rsid w:val="00F97841"/>
    <w:rsid w:val="00FA2314"/>
    <w:rsid w:val="00FA36C9"/>
    <w:rsid w:val="00FA77B8"/>
    <w:rsid w:val="00FB47C3"/>
    <w:rsid w:val="00FB4CC0"/>
    <w:rsid w:val="00FB7EE6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xxxmsonormal">
    <w:name w:val="x_x_x_msonormal"/>
    <w:basedOn w:val="Normln"/>
    <w:rsid w:val="000537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xxxapple-converted-space">
    <w:name w:val="x_x_x_xapple-converted-space"/>
    <w:basedOn w:val="Standardnpsmoodstavce"/>
    <w:rsid w:val="000537A9"/>
  </w:style>
  <w:style w:type="paragraph" w:styleId="Bezmezer">
    <w:name w:val="No Spacing"/>
    <w:uiPriority w:val="1"/>
    <w:qFormat/>
    <w:rsid w:val="000548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sebesta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5770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49</cp:revision>
  <cp:lastPrinted>2016-10-12T10:41:00Z</cp:lastPrinted>
  <dcterms:created xsi:type="dcterms:W3CDTF">2020-07-21T13:09:00Z</dcterms:created>
  <dcterms:modified xsi:type="dcterms:W3CDTF">2022-12-02T10:29:00Z</dcterms:modified>
</cp:coreProperties>
</file>